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8" w:line="259" w:lineRule="auto"/>
        <w:ind w:left="85" w:firstLine="0"/>
        <w:jc w:val="center"/>
        <w:rPr>
          <w:rFonts w:hint="eastAsia" w:ascii="微软雅黑" w:hAnsi="微软雅黑" w:eastAsia="微软雅黑" w:cs="微软雅黑"/>
          <w:b/>
          <w:sz w:val="24"/>
          <w:szCs w:val="24"/>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sz w:val="24"/>
          <w:szCs w:val="24"/>
        </w:rPr>
        <w:t xml:space="preserve">《互联网信息服务管理办法》 </w:t>
      </w:r>
    </w:p>
    <w:p>
      <w:pPr>
        <w:spacing w:after="0" w:line="238" w:lineRule="auto"/>
        <w:ind w:left="0" w:firstLine="0"/>
        <w:rPr>
          <w:rFonts w:hint="eastAsia" w:ascii="微软雅黑" w:hAnsi="微软雅黑" w:eastAsia="微软雅黑" w:cs="微软雅黑"/>
          <w:color w:val="7F7F7F" w:themeColor="background1" w:themeShade="80"/>
          <w:sz w:val="18"/>
          <w:szCs w:val="18"/>
        </w:rPr>
      </w:pPr>
      <w:r>
        <w:rPr>
          <w:rFonts w:hint="eastAsia" w:ascii="微软雅黑" w:hAnsi="微软雅黑" w:eastAsia="微软雅黑" w:cs="微软雅黑"/>
          <w:color w:val="7F7F7F" w:themeColor="background1" w:themeShade="80"/>
          <w:sz w:val="18"/>
          <w:szCs w:val="18"/>
        </w:rPr>
        <w:t xml:space="preserve">(2000年9月25日中华人民共和国国务院令第292号公布 根据2011年1月8 日《国务院关于废止和修改部分行政法规的规定》修订 自公布之日起施行) </w:t>
      </w:r>
    </w:p>
    <w:p>
      <w:pPr>
        <w:spacing w:after="0" w:line="238" w:lineRule="auto"/>
        <w:ind w:left="0" w:firstLine="0"/>
        <w:rPr>
          <w:rFonts w:hint="eastAsia" w:ascii="微软雅黑" w:hAnsi="微软雅黑" w:eastAsia="微软雅黑" w:cs="微软雅黑"/>
          <w:color w:val="7F7F7F" w:themeColor="background1" w:themeShade="80"/>
          <w:sz w:val="18"/>
          <w:szCs w:val="18"/>
        </w:rPr>
      </w:pPr>
    </w:p>
    <w:p>
      <w:pPr>
        <w:spacing w:after="31"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来源</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"http://www.scio.gov.cn/"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"http://www.scio.gov.cn/"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国</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 xml:space="preserve">务院新闻办公室网站 </w:t>
      </w:r>
    </w:p>
    <w:p>
      <w:pPr>
        <w:spacing w:after="114" w:line="259" w:lineRule="auto"/>
        <w:ind w:left="0" w:firstLine="0"/>
        <w:rPr>
          <w:rFonts w:hint="eastAsia" w:ascii="微软雅黑" w:hAnsi="微软雅黑" w:eastAsia="微软雅黑" w:cs="微软雅黑"/>
          <w:color w:val="0563C1"/>
          <w:sz w:val="21"/>
          <w:szCs w:val="21"/>
          <w:u w:val="single" w:color="0563C1"/>
        </w:rPr>
      </w:pPr>
      <w:r>
        <w:rPr>
          <w:rFonts w:hint="eastAsia" w:ascii="微软雅黑" w:hAnsi="微软雅黑" w:eastAsia="微软雅黑" w:cs="微软雅黑"/>
          <w:color w:val="0563C1"/>
          <w:sz w:val="21"/>
          <w:szCs w:val="21"/>
          <w:u w:val="single" w:color="0563C1"/>
        </w:rPr>
        <w:fldChar w:fldCharType="begin"/>
      </w:r>
      <w:r>
        <w:rPr>
          <w:rFonts w:hint="eastAsia" w:ascii="微软雅黑" w:hAnsi="微软雅黑" w:eastAsia="微软雅黑" w:cs="微软雅黑"/>
          <w:color w:val="0563C1"/>
          <w:sz w:val="21"/>
          <w:szCs w:val="21"/>
          <w:u w:val="single" w:color="0563C1"/>
        </w:rPr>
        <w:instrText xml:space="preserve"> HYPERLINK "http://www.scio.gov.cn/" </w:instrText>
      </w:r>
      <w:r>
        <w:rPr>
          <w:rFonts w:hint="eastAsia" w:ascii="微软雅黑" w:hAnsi="微软雅黑" w:eastAsia="微软雅黑" w:cs="微软雅黑"/>
          <w:color w:val="0563C1"/>
          <w:sz w:val="21"/>
          <w:szCs w:val="21"/>
          <w:u w:val="single" w:color="0563C1"/>
        </w:rPr>
        <w:fldChar w:fldCharType="separate"/>
      </w:r>
      <w:r>
        <w:rPr>
          <w:rFonts w:hint="eastAsia" w:ascii="微软雅黑" w:hAnsi="微软雅黑" w:eastAsia="微软雅黑" w:cs="微软雅黑"/>
          <w:color w:val="0563C1"/>
          <w:sz w:val="21"/>
          <w:szCs w:val="21"/>
          <w:u w:val="single" w:color="0563C1"/>
        </w:rPr>
        <w:t>http://www.scio.gov.cn</w:t>
      </w:r>
      <w:r>
        <w:rPr>
          <w:rFonts w:hint="eastAsia" w:ascii="微软雅黑" w:hAnsi="微软雅黑" w:eastAsia="微软雅黑" w:cs="微软雅黑"/>
          <w:color w:val="0563C1"/>
          <w:sz w:val="21"/>
          <w:szCs w:val="21"/>
          <w:u w:val="single" w:color="0563C1"/>
        </w:rPr>
        <w:fldChar w:fldCharType="end"/>
      </w:r>
    </w:p>
    <w:p>
      <w:pPr>
        <w:spacing w:after="22"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第一条 为了规范互联网信息服务活动，促进互联网信息服务健康有序发展，制定本办法。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第二条 在中华人民共和国境内从事互联网信息服务活动，必须遵守本办法。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本办法所称互联网信息服务，是指通过互联网向上网用户提供信息的服务活动。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第三条 互联网信息服务分为经营性和非经营性两类。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经营性互联网信息服务，是指通过互联网向上网用户有偿提供信息或者网页制作等服务活动。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非经营性互联网信息服务，是指通过互联网向上网用户无偿提供具有公开性、共享性信息的服务活动。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第四条 国家对经营性互联网信息服务实行许可制度；对非经营性互联网信息服务实行备案制度。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未取得许可或者未履行备案手续的，不得从事互联网信息服务。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第五条 从事新闻、出版、教育、医疗保健、药品和医疗器械等互联网信息服务，依照法律、行政法规以及国家有关规定须经有关主管部门审核同意的，在申请经营许可或者履行备案手续前，应当依法经有关主管部门审核同意。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第六条 从事经营性互联网信息服务，除应当符合《中华人民共和国电信条例》规定的要求外，还应当具备下列条件：   (一)有业务发展计划及相关技术方案；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(二)有健全的网络与信息安全保障措施，包括网站安全保障措施、信息安全保密管理制度、用户信息安全管理制度；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(三)服务项目属于本办法第五条规定范围的，已取得有关主管部门同意的文件。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第七条 从事经营性互联网信息服务，应当向省、自治区、直辖市电信管理机构或者国务院信息产业主管部门申请办理互联网信息服务增值电信业务经营许可证(以下简称经营许可证)。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省、自治区、直辖市电信管理机构或者国务院信息产业主管部门应当自收到申请之日起60日内审查完毕，作出批准或者不予批准的决定。予以批准的，颁发经营许可证；不予批准的，应当书面通知申请人并说明理由。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申请人取得经营许可证后，应当持经营许可证向企业登记机关办理登记手续。 </w:t>
      </w:r>
    </w:p>
    <w:p>
      <w:pPr>
        <w:spacing w:after="0" w:line="240" w:lineRule="auto"/>
        <w:ind w:left="-5" w:right="225"/>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第八条 从事非经营性互联网信息服务，应当向省、自治区、直辖市电信管理机构或者国务院信息产业主管部门办理备案手续。办理备案时，应当提交下列材料：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(一)主办单位和网站负责人的基本情况；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(二)网站网址和服务项目；   (三)服务项目属于本办法第五条规定范围的，已取得有关主管部门的同意文件。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省、自治区、直辖市电信管理机构对备案材料齐全的，应当予以备案并编号。   第九条 从事互联网信息服务，拟开办电子公告服务的，应当在申请经营性互联网信息服务许可或者办理非经营性互联网信息服务备案时，按照国家有关规定提出专项申请或者专项备案。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第十条 省、自治区、直辖市电信管理机构和国务院信息产业主管部门应当公布取得经营许可证或者已履行备案手续的互联网信息服务提供者名单。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第十一条 互联网信息服务提供者应当按照经许可或者备案的项目提供服务，不得超出经许可或者备案的项目提供服务。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非经营性互联网信息服务提供者不得从事有偿服务。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互联网信息服务提供者变更服务项目、网站网址等事项的，应当提前30日向原审核、发证或者备案机关办理变更手续。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第十二条 互联网信息服务提供者应当在其网站主页的显著位置标明其经营许可证编号或者备案编号。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第十三条 互联网信息服务提供者应当向上网用户提供良好的服务，并保证所提供的信息内容合法。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第十四条 从事新闻、出版以及电子公告等服务项目的互联网信息服务提供者，应当记录提供的信息内容及其发布时间、互联网地址或者域名；互联网接入服务提供者应当记录上网用户的上网时间、用户帐号、互联网地址或者域名、主叫电话号码等信息。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互联网信息服务提供者和互联网接入服务提供者的记录备份应当保存60日，并在国家有关机关依法查询时，予以提供。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第十五条 互联网信息服务提供者不得制作、复制、发布、传播含有下列内容的信息：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(一)反对宪法所确定的基本原则的；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(二)危害国家安全，泄露国家秘密，颠覆国家政权，破坏国家统一的；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(三)损害国家荣誉和利益的；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(四)煽动民族仇恨、民族歧视，破坏民族团结的；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(五)破坏国家宗教政策，宣扬邪教和封建迷信的；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(六)散布谣言，扰乱社会秩序，破坏社会稳定的；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(七)散布淫秽、色情、赌博、暴力、凶杀、恐怖或者教唆犯罪的；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(八)侮辱或者诽谤他人，侵害他人合法权益的；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(九)含有法律、行政法规禁止的其他内容的。 </w:t>
      </w:r>
    </w:p>
    <w:p>
      <w:pPr>
        <w:spacing w:after="0" w:line="240" w:lineRule="auto"/>
        <w:ind w:left="-5" w:right="225"/>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第十六条 互联网信息服务提供者发现其网站传输的信息明显属于本办法第十五条所列内容之一的，应当立即停止传输，保存有关记录，并向国家有关机关报告。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第十七条 经营性互联网信息服务提供者申请在境内境外上市或者同外商合资、合作，应当事先经国务院信息产业主管部门审查同意；其中，外商投资的比例应当符合有关法律、行政法规的规定。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第十八条 国务院信息产业主管部门和省、自治区、直辖市电信管理机构，依法对互联网信息服务实施监督管理。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新闻、出版、教育、卫生、药品监督管理、工商行政管理和公安、国家安全等有关主管部门，在各自职责范围内依法对互联网信息内容实施监督管理。   第十九条 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违反本办法的规定，未履行备案手续，擅自从事非经营性互联网信息服务，或者超出备案的项目提供服务的，由省、自治区、直辖市电信管理机构责令限期改正；拒不改正的，责令关闭网站。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第二十条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第二十一条 未履行本办法第十四条规定的义务的，由省、自治区、直辖市电信管理机构责令改正；情节严重的，责令停业整顿或者暂时关闭网站。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第二十二条 违反本办法的规定，未在其网站主页上标明其经营许可证编号或者备案编号的，由省、自治区、直辖市电信管理机构责令改正，处5000元以上5万元以下的罚款。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第二十三条 违反本办法第十六条规定的义务的，由省、自治区、直辖市电信管理机构责令改正；情节严重的，对经营性互联网信息服务提供者，并由发证机关吊销经营许可证，对非经营性互联网信息服务提供者，并由备案机关责令关闭网站。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第二十四条 互联网信息服务提供者在其业务活动中，违反其他法律、法规的，由新闻、出版、教育、卫生、药品监督管理和工商行政管理等有关主管部门依照有关法律、法规的规定处罚。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第二十五条 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第二十六条 在本办法公布前从事互联网信息服务的，应当自本办法公布之日起60日内依照本办法的有关规定补办有关手续。 </w:t>
      </w:r>
    </w:p>
    <w:p>
      <w:pPr>
        <w:ind w:left="-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第二十七条 本办法自公布之日起施行。 </w:t>
      </w: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spacing w:after="0" w:line="259" w:lineRule="auto"/>
        <w:ind w:left="0" w:firstLine="0"/>
        <w:rPr>
          <w:rFonts w:hint="eastAsia" w:ascii="微软雅黑" w:hAnsi="微软雅黑" w:eastAsia="微软雅黑" w:cs="微软雅黑"/>
          <w:sz w:val="21"/>
          <w:szCs w:val="21"/>
        </w:rPr>
      </w:pPr>
      <w:bookmarkStart w:id="0" w:name="_GoBack"/>
      <w:bookmarkEnd w:id="0"/>
    </w:p>
    <w:sectPr>
      <w:footerReference r:id="rId3" w:type="default"/>
      <w:pgSz w:w="11906" w:h="16838"/>
      <w:pgMar w:top="1134" w:right="1080" w:bottom="1134" w:left="108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rPr>
        <w:rFonts w:hint="eastAsia" w:eastAsia="宋体"/>
        <w:lang w:eastAsia="zh-CN"/>
      </w:rPr>
    </w:pPr>
    <w:r>
      <w:rPr>
        <w:sz w:val="18"/>
      </w:rPr>
      <w:drawing>
        <wp:anchor distT="0" distB="0" distL="114300" distR="114300" simplePos="0" relativeHeight="251660288" behindDoc="1" locked="0" layoutInCell="1" allowOverlap="1">
          <wp:simplePos x="0" y="0"/>
          <wp:positionH relativeFrom="column">
            <wp:posOffset>0</wp:posOffset>
          </wp:positionH>
          <wp:positionV relativeFrom="paragraph">
            <wp:posOffset>-42545</wp:posOffset>
          </wp:positionV>
          <wp:extent cx="6182995" cy="409575"/>
          <wp:effectExtent l="0" t="0" r="8255" b="9525"/>
          <wp:wrapThrough wrapText="bothSides">
            <wp:wrapPolygon>
              <wp:start x="0" y="0"/>
              <wp:lineTo x="0" y="20394"/>
              <wp:lineTo x="21562" y="20394"/>
              <wp:lineTo x="21562" y="0"/>
              <wp:lineTo x="0" y="0"/>
            </wp:wrapPolygon>
          </wp:wrapThrough>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1"/>
                  <a:stretch>
                    <a:fillRect/>
                  </a:stretch>
                </pic:blipFill>
                <pic:spPr>
                  <a:xfrm>
                    <a:off x="0" y="0"/>
                    <a:ext cx="6182995" cy="409575"/>
                  </a:xfrm>
                  <a:prstGeom prst="rect">
                    <a:avLst/>
                  </a:prstGeom>
                </pic:spPr>
              </pic:pic>
            </a:graphicData>
          </a:graphic>
        </wp:anchor>
      </w:drawing>
    </w:r>
    <w:r>
      <w:rPr>
        <w:sz w:val="18"/>
      </w:rPr>
      <mc:AlternateContent>
        <mc:Choice Requires="wps">
          <w:drawing>
            <wp:anchor distT="0" distB="0" distL="114300" distR="114300" simplePos="0" relativeHeight="251659264" behindDoc="1" locked="0" layoutInCell="1" allowOverlap="1">
              <wp:simplePos x="0" y="0"/>
              <wp:positionH relativeFrom="column">
                <wp:posOffset>11430</wp:posOffset>
              </wp:positionH>
              <wp:positionV relativeFrom="paragraph">
                <wp:posOffset>-60325</wp:posOffset>
              </wp:positionV>
              <wp:extent cx="6200775" cy="0"/>
              <wp:effectExtent l="0" t="0" r="0" b="0"/>
              <wp:wrapThrough wrapText="bothSides">
                <wp:wrapPolygon>
                  <wp:start x="0" y="0"/>
                  <wp:lineTo x="0" y="21600"/>
                  <wp:lineTo x="21600" y="21600"/>
                  <wp:lineTo x="21600" y="0"/>
                  <wp:lineTo x="0" y="0"/>
                </wp:wrapPolygon>
              </wp:wrapThrough>
              <wp:docPr id="3" name="直接连接符 3"/>
              <wp:cNvGraphicFramePr/>
              <a:graphic xmlns:a="http://schemas.openxmlformats.org/drawingml/2006/main">
                <a:graphicData uri="http://schemas.microsoft.com/office/word/2010/wordprocessingShape">
                  <wps:wsp>
                    <wps:cNvCnPr/>
                    <wps:spPr>
                      <a:xfrm>
                        <a:off x="697230" y="1002411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4.75pt;height:0pt;width:488.25pt;mso-wrap-distance-left:9pt;mso-wrap-distance-right:9pt;z-index:-251657216;mso-width-relative:page;mso-height-relative:page;" filled="f" stroked="t" coordsize="21600,21600" wrapcoords="0 0 0 21600 21600 21600 21600 0 0 0" o:gfxdata="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&#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g5LiNMAAAAHAQAADwAAAAAAAAABACAAAAAiAAAA&#10;ZHJzL2Rvd25yZXYueG1sUEsBAhQAFAAAAAgAh07iQDr+HcDTAQAAbwMAAA4AAAAAAAAAAQAgAAAA&#10;IgEAAGRycy9lMm9Eb2MueG1sUEsFBgAAAAAGAAYAWQEAAGcFAAAAAA==&#10;">
              <v:fill on="f" focussize="0,0"/>
              <v:stroke weight="0.5pt" color="#000000 [3200]" miterlimit="8" joinstyle="miter"/>
              <v:imagedata o:title=""/>
              <o:lock v:ext="edit" aspectratio="f"/>
              <w10:wrap type="through"/>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C"/>
    <w:rsid w:val="003C6077"/>
    <w:rsid w:val="00D64F6C"/>
    <w:rsid w:val="25FA2794"/>
    <w:rsid w:val="30A43CAF"/>
    <w:rsid w:val="67BE0D78"/>
    <w:rsid w:val="6C50422E"/>
    <w:rsid w:val="6F69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 w:line="311" w:lineRule="auto"/>
      <w:ind w:left="26" w:firstLine="470"/>
    </w:pPr>
    <w:rPr>
      <w:rFonts w:ascii="宋体" w:hAnsi="宋体" w:eastAsia="宋体" w:cs="宋体"/>
      <w:color w:val="000000"/>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246</Words>
  <Characters>1403</Characters>
  <Lines>11</Lines>
  <Paragraphs>3</Paragraphs>
  <TotalTime>4</TotalTime>
  <ScaleCrop>false</ScaleCrop>
  <LinksUpToDate>false</LinksUpToDate>
  <CharactersWithSpaces>1646</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2017-01-04T00:46:00Z</dcterms:created>
  <dc:creator>MLH</dc:creator>
  <cp:lastModifiedBy>Yinji · 印际</cp:lastModifiedBy>
  <dcterms:modified xsi:type="dcterms:W3CDTF">2019-06-12T10:23:12Z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